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1F2E8512" w:rsidR="0064039C" w:rsidRDefault="0064039C" w:rsidP="0064039C">
      <w:pPr>
        <w:pStyle w:val="CRCoverPage"/>
        <w:tabs>
          <w:tab w:val="right" w:pos="9639"/>
        </w:tabs>
        <w:spacing w:after="0"/>
        <w:rPr>
          <w:b/>
          <w:i/>
          <w:noProof/>
          <w:sz w:val="28"/>
        </w:rPr>
      </w:pPr>
      <w:r>
        <w:rPr>
          <w:b/>
          <w:noProof/>
          <w:sz w:val="24"/>
        </w:rPr>
        <w:t>3GPP TSG-</w:t>
      </w:r>
      <w:r w:rsidR="005846FB">
        <w:fldChar w:fldCharType="begin"/>
      </w:r>
      <w:r w:rsidR="005846FB">
        <w:instrText xml:space="preserve"> DOCPROPERTY  TSG/WGRef  \* MERGEFORMAT </w:instrText>
      </w:r>
      <w:r w:rsidR="005846FB">
        <w:fldChar w:fldCharType="separate"/>
      </w:r>
      <w:r>
        <w:rPr>
          <w:b/>
          <w:noProof/>
          <w:sz w:val="24"/>
        </w:rPr>
        <w:t>RAN WG2</w:t>
      </w:r>
      <w:r w:rsidR="005846FB">
        <w:rPr>
          <w:b/>
          <w:noProof/>
          <w:sz w:val="24"/>
        </w:rPr>
        <w:fldChar w:fldCharType="end"/>
      </w:r>
      <w:r>
        <w:rPr>
          <w:b/>
          <w:noProof/>
          <w:sz w:val="24"/>
        </w:rPr>
        <w:t xml:space="preserve"> Meeting #1</w:t>
      </w:r>
      <w:r w:rsidR="00163419">
        <w:rPr>
          <w:b/>
          <w:noProof/>
          <w:sz w:val="24"/>
        </w:rPr>
        <w:t>30</w:t>
      </w:r>
      <w:r>
        <w:rPr>
          <w:b/>
          <w:i/>
          <w:noProof/>
          <w:sz w:val="28"/>
        </w:rPr>
        <w:tab/>
      </w:r>
      <w:r w:rsidR="005846FB">
        <w:fldChar w:fldCharType="begin"/>
      </w:r>
      <w:r w:rsidR="005846FB">
        <w:instrText xml:space="preserve"> DOCPROPERTY  Tdoc#  \* MERGEFORMAT </w:instrText>
      </w:r>
      <w:r w:rsidR="005846FB">
        <w:fldChar w:fldCharType="separate"/>
      </w:r>
      <w:r>
        <w:rPr>
          <w:b/>
          <w:i/>
          <w:noProof/>
          <w:sz w:val="28"/>
        </w:rPr>
        <w:t>R2-2</w:t>
      </w:r>
      <w:r w:rsidR="00BD0377">
        <w:rPr>
          <w:b/>
          <w:i/>
          <w:noProof/>
          <w:sz w:val="28"/>
        </w:rPr>
        <w:t>5</w:t>
      </w:r>
      <w:r w:rsidR="00172914">
        <w:rPr>
          <w:b/>
          <w:i/>
          <w:noProof/>
          <w:sz w:val="28"/>
        </w:rPr>
        <w:t>04342</w:t>
      </w:r>
      <w:r w:rsidR="005846FB">
        <w:rPr>
          <w:b/>
          <w:i/>
          <w:noProof/>
          <w:sz w:val="28"/>
        </w:rPr>
        <w:fldChar w:fldCharType="end"/>
      </w:r>
    </w:p>
    <w:p w14:paraId="71750239" w14:textId="2700ACF0" w:rsidR="0064039C" w:rsidRDefault="004663D2" w:rsidP="0064039C">
      <w:pPr>
        <w:pStyle w:val="CRCoverPage"/>
        <w:outlineLvl w:val="0"/>
        <w:rPr>
          <w:b/>
          <w:sz w:val="24"/>
          <w:szCs w:val="24"/>
        </w:rPr>
      </w:pPr>
      <w:bookmarkStart w:id="0" w:name="_Toc189750436"/>
      <w:bookmarkStart w:id="1" w:name="_Toc55663945"/>
      <w:bookmarkStart w:id="2" w:name="_Hlk124761912"/>
      <w:r>
        <w:rPr>
          <w:b/>
          <w:sz w:val="24"/>
          <w:szCs w:val="24"/>
        </w:rPr>
        <w:t>St. Julians</w:t>
      </w:r>
      <w:r w:rsidR="00CB0B4B" w:rsidRPr="02A22C69">
        <w:rPr>
          <w:b/>
          <w:sz w:val="24"/>
          <w:szCs w:val="24"/>
        </w:rPr>
        <w:t xml:space="preserve">, </w:t>
      </w:r>
      <w:r>
        <w:rPr>
          <w:b/>
          <w:sz w:val="24"/>
          <w:szCs w:val="24"/>
        </w:rPr>
        <w:t>Malta</w:t>
      </w:r>
      <w:r w:rsidR="0064039C" w:rsidRPr="02A22C69">
        <w:rPr>
          <w:b/>
          <w:sz w:val="24"/>
          <w:szCs w:val="24"/>
        </w:rPr>
        <w:t xml:space="preserve">, </w:t>
      </w:r>
      <w:r w:rsidR="00AE42F9">
        <w:rPr>
          <w:b/>
          <w:sz w:val="24"/>
          <w:szCs w:val="24"/>
        </w:rPr>
        <w:t>19</w:t>
      </w:r>
      <w:r w:rsidR="00102D21" w:rsidRPr="02A22C69">
        <w:rPr>
          <w:b/>
          <w:sz w:val="24"/>
          <w:szCs w:val="24"/>
          <w:vertAlign w:val="superscript"/>
        </w:rPr>
        <w:t xml:space="preserve">th </w:t>
      </w:r>
      <w:r w:rsidR="0064039C" w:rsidRPr="02A22C69">
        <w:rPr>
          <w:b/>
          <w:sz w:val="24"/>
          <w:szCs w:val="24"/>
        </w:rPr>
        <w:t xml:space="preserve">– </w:t>
      </w:r>
      <w:r w:rsidR="00AE42F9">
        <w:rPr>
          <w:b/>
          <w:sz w:val="24"/>
          <w:szCs w:val="24"/>
        </w:rPr>
        <w:t>23</w:t>
      </w:r>
      <w:r w:rsidR="00AE42F9" w:rsidRPr="00AE42F9">
        <w:rPr>
          <w:b/>
          <w:sz w:val="24"/>
          <w:szCs w:val="24"/>
          <w:vertAlign w:val="superscript"/>
        </w:rPr>
        <w:t>rd</w:t>
      </w:r>
      <w:r w:rsidR="00AE42F9">
        <w:rPr>
          <w:b/>
          <w:sz w:val="24"/>
          <w:szCs w:val="24"/>
        </w:rPr>
        <w:t xml:space="preserve"> May</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8.7.5</w:t>
      </w:r>
    </w:p>
    <w:p w14:paraId="4415146A" w14:textId="4A38FA6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135E4">
        <w:rPr>
          <w:sz w:val="22"/>
          <w:szCs w:val="22"/>
        </w:rPr>
        <w:t>, Qualcomm Incorporated</w:t>
      </w:r>
      <w:r w:rsidR="00EA2F10">
        <w:rPr>
          <w:sz w:val="22"/>
          <w:szCs w:val="22"/>
        </w:rPr>
        <w:t>,</w:t>
      </w:r>
      <w:r w:rsidR="0064135E">
        <w:rPr>
          <w:sz w:val="22"/>
          <w:szCs w:val="22"/>
        </w:rPr>
        <w:t xml:space="preserve"> ZTE Corporati</w:t>
      </w:r>
      <w:r w:rsidR="00AF50C6">
        <w:rPr>
          <w:sz w:val="22"/>
          <w:szCs w:val="22"/>
        </w:rPr>
        <w:t>on</w:t>
      </w:r>
      <w:r w:rsidR="00CF26D9">
        <w:rPr>
          <w:sz w:val="22"/>
          <w:szCs w:val="22"/>
        </w:rPr>
        <w:t xml:space="preserve">, </w:t>
      </w:r>
      <w:r w:rsidR="00DC1DF2" w:rsidRPr="00CF26D9">
        <w:rPr>
          <w:sz w:val="22"/>
          <w:szCs w:val="22"/>
        </w:rPr>
        <w:t>MediaTek</w:t>
      </w:r>
      <w:r w:rsidR="00CF26D9" w:rsidRPr="00CF26D9">
        <w:rPr>
          <w:sz w:val="22"/>
          <w:szCs w:val="22"/>
        </w:rPr>
        <w:t xml:space="preserve"> Inc.</w:t>
      </w:r>
      <w:r w:rsidR="00281A49">
        <w:rPr>
          <w:sz w:val="22"/>
          <w:szCs w:val="22"/>
        </w:rPr>
        <w:t>, Xiaomi</w:t>
      </w:r>
    </w:p>
    <w:p w14:paraId="77BCF734" w14:textId="26A2B0EA" w:rsidR="00E90E49" w:rsidRPr="00CE0424" w:rsidRDefault="003D3C45" w:rsidP="00311702">
      <w:pPr>
        <w:pStyle w:val="3GPPHeader"/>
        <w:rPr>
          <w:sz w:val="22"/>
          <w:szCs w:val="22"/>
        </w:rPr>
      </w:pPr>
      <w:r>
        <w:rPr>
          <w:sz w:val="22"/>
          <w:szCs w:val="22"/>
        </w:rPr>
        <w:t>Title:</w:t>
      </w:r>
      <w:r w:rsidR="00E90E49" w:rsidRPr="00CE0424">
        <w:rPr>
          <w:sz w:val="22"/>
          <w:szCs w:val="22"/>
        </w:rPr>
        <w:tab/>
      </w:r>
      <w:r w:rsidR="002D5D00">
        <w:rPr>
          <w:sz w:val="22"/>
          <w:szCs w:val="22"/>
        </w:rPr>
        <w:t>Discussion on UE Capabilities</w:t>
      </w:r>
      <w:r w:rsidR="00B864DB">
        <w:rPr>
          <w:sz w:val="22"/>
          <w:szCs w:val="22"/>
        </w:rPr>
        <w:t xml:space="preserve"> for </w:t>
      </w:r>
      <w:r w:rsidR="00F509A2">
        <w:rPr>
          <w:sz w:val="22"/>
          <w:szCs w:val="22"/>
        </w:rPr>
        <w:t>Unnecessary Retransmission Avoidance</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17080421" w14:textId="32129319" w:rsidR="003B00D0" w:rsidRDefault="00024012" w:rsidP="00F72276">
      <w:pPr>
        <w:pStyle w:val="BodyText"/>
        <w:rPr>
          <w:lang w:val="en-US"/>
        </w:rPr>
      </w:pPr>
      <w:bookmarkStart w:id="5" w:name="_Ref178064866"/>
      <w:r>
        <w:rPr>
          <w:lang w:val="en-US"/>
        </w:rPr>
        <w:t>O</w:t>
      </w:r>
      <w:r w:rsidR="00713501">
        <w:rPr>
          <w:lang w:val="en-US"/>
        </w:rPr>
        <w:t>n</w:t>
      </w:r>
      <w:r w:rsidR="00FA5E86">
        <w:rPr>
          <w:lang w:val="en-US"/>
        </w:rPr>
        <w:t xml:space="preserve"> </w:t>
      </w:r>
      <w:r w:rsidR="007F70F9">
        <w:rPr>
          <w:lang w:val="en-US"/>
        </w:rPr>
        <w:t>the topic o</w:t>
      </w:r>
      <w:r w:rsidR="009C6CCE">
        <w:rPr>
          <w:lang w:val="en-US"/>
        </w:rPr>
        <w:t>f</w:t>
      </w:r>
      <w:r w:rsidR="007F70F9">
        <w:rPr>
          <w:lang w:val="en-US"/>
        </w:rPr>
        <w:t xml:space="preserve"> </w:t>
      </w:r>
      <w:r w:rsidR="00FA5E86">
        <w:rPr>
          <w:lang w:val="en-US"/>
        </w:rPr>
        <w:t xml:space="preserve">avoiding unnecessary retransmissions, </w:t>
      </w:r>
      <w:r w:rsidR="00C6276C">
        <w:rPr>
          <w:lang w:val="en-US"/>
        </w:rPr>
        <w:t>a</w:t>
      </w:r>
      <w:r w:rsidR="00791F5E">
        <w:rPr>
          <w:lang w:val="en-US"/>
        </w:rPr>
        <w:t xml:space="preserve"> </w:t>
      </w:r>
      <w:r w:rsidR="00694EDC">
        <w:rPr>
          <w:lang w:val="en-US"/>
        </w:rPr>
        <w:t xml:space="preserve">combined Tx-Rx </w:t>
      </w:r>
      <w:r w:rsidR="00791F5E">
        <w:rPr>
          <w:lang w:val="en-US"/>
        </w:rPr>
        <w:t xml:space="preserve">solution </w:t>
      </w:r>
      <w:r w:rsidR="004D62BE">
        <w:rPr>
          <w:lang w:val="en-US"/>
        </w:rPr>
        <w:t xml:space="preserve">was agreed. </w:t>
      </w:r>
      <w:r w:rsidR="00E55B4F">
        <w:rPr>
          <w:lang w:val="en-US"/>
        </w:rPr>
        <w:t>As the name suggest, t</w:t>
      </w:r>
      <w:r w:rsidR="004D62BE">
        <w:rPr>
          <w:lang w:val="en-US"/>
        </w:rPr>
        <w:t xml:space="preserve">his solution </w:t>
      </w:r>
      <w:r w:rsidR="00791F5E">
        <w:rPr>
          <w:lang w:val="en-US"/>
        </w:rPr>
        <w:t xml:space="preserve">consists of </w:t>
      </w:r>
      <w:r w:rsidR="00BC03A5">
        <w:rPr>
          <w:lang w:val="en-US"/>
        </w:rPr>
        <w:t>aspects</w:t>
      </w:r>
      <w:r w:rsidR="00C10894">
        <w:rPr>
          <w:lang w:val="en-US"/>
        </w:rPr>
        <w:t xml:space="preserve"> </w:t>
      </w:r>
      <w:r w:rsidR="00254926">
        <w:rPr>
          <w:lang w:val="en-US"/>
        </w:rPr>
        <w:t>on both the Tx-side and Rx-side</w:t>
      </w:r>
      <w:r w:rsidR="00A85F35">
        <w:rPr>
          <w:lang w:val="en-US"/>
        </w:rPr>
        <w:t xml:space="preserve">. </w:t>
      </w:r>
      <w:r w:rsidR="00E529B2">
        <w:rPr>
          <w:lang w:val="en-US"/>
        </w:rPr>
        <w:t xml:space="preserve">But </w:t>
      </w:r>
      <w:r w:rsidR="00A71C43">
        <w:rPr>
          <w:lang w:val="en-US"/>
        </w:rPr>
        <w:t>from an operating standpoint,</w:t>
      </w:r>
      <w:r w:rsidR="00D83470">
        <w:rPr>
          <w:lang w:val="en-US"/>
        </w:rPr>
        <w:t xml:space="preserve"> </w:t>
      </w:r>
      <w:r w:rsidR="00E529B2">
        <w:rPr>
          <w:lang w:val="en-US"/>
        </w:rPr>
        <w:t>t</w:t>
      </w:r>
      <w:r w:rsidR="00A85F35">
        <w:rPr>
          <w:lang w:val="en-US"/>
        </w:rPr>
        <w:t xml:space="preserve">hese </w:t>
      </w:r>
      <w:r w:rsidR="00921F92">
        <w:rPr>
          <w:lang w:val="en-US"/>
        </w:rPr>
        <w:t>aspects</w:t>
      </w:r>
      <w:r w:rsidR="002A320D">
        <w:rPr>
          <w:lang w:val="en-US"/>
        </w:rPr>
        <w:t xml:space="preserve"> are independent of each other</w:t>
      </w:r>
      <w:r w:rsidR="000C0123">
        <w:rPr>
          <w:lang w:val="en-US"/>
        </w:rPr>
        <w:t xml:space="preserve"> </w:t>
      </w:r>
      <w:r w:rsidR="009D3B49">
        <w:rPr>
          <w:lang w:val="en-US"/>
        </w:rPr>
        <w:t xml:space="preserve">with the Rx-side aspect </w:t>
      </w:r>
      <w:r w:rsidR="000F3C75">
        <w:rPr>
          <w:lang w:val="en-US"/>
        </w:rPr>
        <w:t xml:space="preserve">being </w:t>
      </w:r>
      <w:r w:rsidR="00906DB4">
        <w:rPr>
          <w:lang w:val="en-US"/>
        </w:rPr>
        <w:t>the essential part of the solution.</w:t>
      </w:r>
      <w:r w:rsidR="00BA5844">
        <w:rPr>
          <w:lang w:val="en-US"/>
        </w:rPr>
        <w:t xml:space="preserve"> </w:t>
      </w:r>
      <w:r w:rsidR="00FE23F3">
        <w:rPr>
          <w:lang w:val="en-US"/>
        </w:rPr>
        <w:t xml:space="preserve">This issue was also captured by the </w:t>
      </w:r>
      <w:proofErr w:type="spellStart"/>
      <w:r w:rsidR="00FE23F3">
        <w:rPr>
          <w:lang w:val="en-US"/>
        </w:rPr>
        <w:t>rapp</w:t>
      </w:r>
      <w:proofErr w:type="spellEnd"/>
      <w:r w:rsidR="00FE23F3">
        <w:rPr>
          <w:lang w:val="en-US"/>
        </w:rPr>
        <w:t xml:space="preserve"> in the list of open issues, as follows:</w:t>
      </w:r>
    </w:p>
    <w:p w14:paraId="3D12D486" w14:textId="77777777" w:rsidR="00170AE4" w:rsidRPr="00170AE4" w:rsidRDefault="00170AE4" w:rsidP="00170AE4">
      <w:pPr>
        <w:jc w:val="both"/>
        <w:textAlignment w:val="baseline"/>
        <w:rPr>
          <w:rFonts w:eastAsia="SimSun"/>
          <w:u w:val="single"/>
          <w:lang w:val="en-US" w:eastAsia="zh-CN"/>
        </w:rPr>
      </w:pPr>
      <w:r w:rsidRPr="00170AE4">
        <w:rPr>
          <w:rFonts w:eastAsia="SimSun" w:hint="eastAsia"/>
          <w:u w:val="single"/>
          <w:lang w:val="en-US" w:eastAsia="zh-CN"/>
        </w:rPr>
        <w:t>O</w:t>
      </w:r>
      <w:r w:rsidRPr="00170AE4">
        <w:rPr>
          <w:rFonts w:eastAsia="SimSun"/>
          <w:u w:val="single"/>
          <w:lang w:val="en-US" w:eastAsia="zh-CN"/>
        </w:rPr>
        <w:t>pen issue 2: whether to have separate or joint UE capability for UE Tx and Rx operations for unnecessary retransmission avoidance.</w:t>
      </w:r>
    </w:p>
    <w:p w14:paraId="5DEAC1EA" w14:textId="5FCE33C8" w:rsidR="00660A3C" w:rsidRDefault="00660A3C" w:rsidP="00F72276">
      <w:pPr>
        <w:pStyle w:val="BodyText"/>
        <w:rPr>
          <w:lang w:val="en-US"/>
        </w:rPr>
      </w:pPr>
      <w:r>
        <w:rPr>
          <w:lang w:val="en-US"/>
        </w:rPr>
        <w:t xml:space="preserve">In this contribution, </w:t>
      </w:r>
      <w:r w:rsidR="0075561A">
        <w:rPr>
          <w:lang w:val="en-US"/>
        </w:rPr>
        <w:t>w</w:t>
      </w:r>
      <w:r w:rsidR="00EB221E">
        <w:rPr>
          <w:lang w:val="en-US"/>
        </w:rPr>
        <w:t xml:space="preserve">e discuss the corresponding UE capabilities and how </w:t>
      </w:r>
      <w:r w:rsidR="00FC6997">
        <w:rPr>
          <w:lang w:val="en-US"/>
        </w:rPr>
        <w:t>th</w:t>
      </w:r>
      <w:r w:rsidR="0032535A">
        <w:rPr>
          <w:lang w:val="en-US"/>
        </w:rPr>
        <w:t>ese capabilities</w:t>
      </w:r>
      <w:r w:rsidR="00EB221E">
        <w:rPr>
          <w:lang w:val="en-US"/>
        </w:rPr>
        <w:t xml:space="preserve"> affect the co-existence of the features</w:t>
      </w:r>
      <w:r w:rsidR="00400009">
        <w:rPr>
          <w:lang w:val="en-US"/>
        </w:rPr>
        <w:t>/</w:t>
      </w:r>
      <w:r w:rsidR="0072153E">
        <w:rPr>
          <w:lang w:val="en-US"/>
        </w:rPr>
        <w:t>aspects of a solution</w:t>
      </w:r>
      <w:r w:rsidR="00E84B59">
        <w:rPr>
          <w:lang w:val="en-US"/>
        </w:rPr>
        <w:t xml:space="preserv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692F949B" w14:textId="7077F154" w:rsidR="00C8054D" w:rsidRDefault="007D1A73" w:rsidP="00D8469A">
      <w:pPr>
        <w:pStyle w:val="BodyText"/>
        <w:rPr>
          <w:lang w:val="en-US"/>
        </w:rPr>
      </w:pPr>
      <w:r>
        <w:rPr>
          <w:lang w:val="en-US"/>
        </w:rPr>
        <w:t>Given</w:t>
      </w:r>
      <w:r w:rsidR="00A410A6">
        <w:rPr>
          <w:lang w:val="en-US"/>
        </w:rPr>
        <w:t xml:space="preserve"> all</w:t>
      </w:r>
      <w:r w:rsidR="00A954F8">
        <w:rPr>
          <w:lang w:val="en-US"/>
        </w:rPr>
        <w:t xml:space="preserve"> </w:t>
      </w:r>
      <w:r w:rsidR="00F93891">
        <w:rPr>
          <w:lang w:val="en-US"/>
        </w:rPr>
        <w:t xml:space="preserve">the solutions for </w:t>
      </w:r>
      <w:r w:rsidR="00B95697">
        <w:rPr>
          <w:lang w:val="en-US"/>
        </w:rPr>
        <w:t>RLC AM enhancements</w:t>
      </w:r>
      <w:r w:rsidR="005774BC">
        <w:rPr>
          <w:lang w:val="en-US"/>
        </w:rPr>
        <w:t xml:space="preserve"> are</w:t>
      </w:r>
      <w:r w:rsidR="00B27EAF">
        <w:rPr>
          <w:lang w:val="en-US"/>
        </w:rPr>
        <w:t xml:space="preserve"> </w:t>
      </w:r>
      <w:r w:rsidR="00927EE7">
        <w:rPr>
          <w:lang w:val="en-US"/>
        </w:rPr>
        <w:t>clearly</w:t>
      </w:r>
      <w:r w:rsidR="00287018">
        <w:rPr>
          <w:lang w:val="en-US"/>
        </w:rPr>
        <w:t xml:space="preserve"> </w:t>
      </w:r>
      <w:r w:rsidR="00927EE7">
        <w:rPr>
          <w:lang w:val="en-US"/>
        </w:rPr>
        <w:t>L2 functionality with no RAN1 impact,</w:t>
      </w:r>
      <w:r w:rsidR="00777FD2">
        <w:rPr>
          <w:lang w:val="en-US"/>
        </w:rPr>
        <w:t xml:space="preserve"> it is safe to assume that </w:t>
      </w:r>
      <w:r w:rsidR="006779CF">
        <w:rPr>
          <w:lang w:val="en-US"/>
        </w:rPr>
        <w:t>related capabilities will be per-UE</w:t>
      </w:r>
      <w:r w:rsidR="00D52EC2">
        <w:rPr>
          <w:lang w:val="en-US"/>
        </w:rPr>
        <w:t xml:space="preserve"> with </w:t>
      </w:r>
      <w:proofErr w:type="spellStart"/>
      <w:r w:rsidR="00D52EC2">
        <w:rPr>
          <w:lang w:val="en-US"/>
        </w:rPr>
        <w:t>signalling</w:t>
      </w:r>
      <w:proofErr w:type="spellEnd"/>
      <w:r w:rsidR="006779CF">
        <w:rPr>
          <w:lang w:val="en-US"/>
        </w:rPr>
        <w:t>.</w:t>
      </w:r>
    </w:p>
    <w:p w14:paraId="2B85DDC8" w14:textId="0DC82CE1" w:rsidR="009F434A" w:rsidRDefault="002503F8" w:rsidP="009F434A">
      <w:pPr>
        <w:pStyle w:val="Observation"/>
        <w:numPr>
          <w:ilvl w:val="0"/>
          <w:numId w:val="4"/>
        </w:numPr>
        <w:spacing w:after="180"/>
        <w:ind w:left="1701" w:hanging="1701"/>
      </w:pPr>
      <w:bookmarkStart w:id="8" w:name="_Toc197641153"/>
      <w:r>
        <w:t>All the</w:t>
      </w:r>
      <w:r w:rsidR="009F434A">
        <w:t xml:space="preserve"> solutions for RLC AM enhancements should </w:t>
      </w:r>
      <w:r w:rsidR="00AA3F06">
        <w:t>have</w:t>
      </w:r>
      <w:r w:rsidR="009F434A">
        <w:t xml:space="preserve"> per-UE</w:t>
      </w:r>
      <w:r w:rsidR="00AA3F06">
        <w:t xml:space="preserve"> capabilities</w:t>
      </w:r>
      <w:r w:rsidR="00601B84">
        <w:t xml:space="preserve"> with signalling</w:t>
      </w:r>
      <w:r w:rsidR="009F434A">
        <w:t>.</w:t>
      </w:r>
      <w:bookmarkEnd w:id="8"/>
      <w:r w:rsidR="009F434A">
        <w:t xml:space="preserve"> </w:t>
      </w:r>
    </w:p>
    <w:p w14:paraId="305F1CC4" w14:textId="4A82014F" w:rsidR="00C54D4C" w:rsidRDefault="00107394" w:rsidP="00775E2A">
      <w:pPr>
        <w:jc w:val="both"/>
        <w:rPr>
          <w:rFonts w:ascii="Arial" w:hAnsi="Arial" w:cs="Arial"/>
        </w:rPr>
      </w:pPr>
      <w:r>
        <w:rPr>
          <w:rFonts w:ascii="Arial" w:hAnsi="Arial" w:cs="Arial"/>
        </w:rPr>
        <w:t xml:space="preserve">The </w:t>
      </w:r>
      <w:r w:rsidR="00775E2A">
        <w:rPr>
          <w:rFonts w:ascii="Arial" w:hAnsi="Arial" w:cs="Arial"/>
        </w:rPr>
        <w:t xml:space="preserve">combined Tx-Rx </w:t>
      </w:r>
      <w:r w:rsidR="00010D43">
        <w:rPr>
          <w:rFonts w:ascii="Arial" w:hAnsi="Arial" w:cs="Arial"/>
        </w:rPr>
        <w:t xml:space="preserve">solution </w:t>
      </w:r>
      <w:r>
        <w:rPr>
          <w:rFonts w:ascii="Arial" w:hAnsi="Arial" w:cs="Arial"/>
        </w:rPr>
        <w:t xml:space="preserve">however </w:t>
      </w:r>
      <w:r w:rsidR="00775E2A">
        <w:rPr>
          <w:rFonts w:ascii="Arial" w:hAnsi="Arial" w:cs="Arial"/>
        </w:rPr>
        <w:t xml:space="preserve">involves two </w:t>
      </w:r>
      <w:r w:rsidR="00D9499B">
        <w:rPr>
          <w:rFonts w:ascii="Arial" w:hAnsi="Arial" w:cs="Arial"/>
        </w:rPr>
        <w:t>aspects</w:t>
      </w:r>
      <w:r w:rsidR="00775E2A">
        <w:rPr>
          <w:rFonts w:ascii="Arial" w:hAnsi="Arial" w:cs="Arial"/>
        </w:rPr>
        <w:t>, where the Tx side stops transmissions of an outdated SDU</w:t>
      </w:r>
      <w:r w:rsidR="00D015D9">
        <w:rPr>
          <w:rFonts w:ascii="Arial" w:hAnsi="Arial" w:cs="Arial"/>
        </w:rPr>
        <w:t>,</w:t>
      </w:r>
      <w:r w:rsidR="00775E2A">
        <w:rPr>
          <w:rFonts w:ascii="Arial" w:hAnsi="Arial" w:cs="Arial"/>
        </w:rPr>
        <w:t xml:space="preserve"> and the Rx</w:t>
      </w:r>
      <w:r w:rsidR="00B10C5B">
        <w:rPr>
          <w:rFonts w:ascii="Arial" w:hAnsi="Arial" w:cs="Arial"/>
        </w:rPr>
        <w:t>-</w:t>
      </w:r>
      <w:r w:rsidR="00775E2A">
        <w:rPr>
          <w:rFonts w:ascii="Arial" w:hAnsi="Arial" w:cs="Arial"/>
        </w:rPr>
        <w:t xml:space="preserve">side abandons the outdated SDUs based on a local timer. </w:t>
      </w:r>
      <w:r w:rsidR="007D361A">
        <w:rPr>
          <w:rFonts w:ascii="Arial" w:hAnsi="Arial" w:cs="Arial"/>
        </w:rPr>
        <w:t>Although t</w:t>
      </w:r>
      <w:r w:rsidR="00A2141B">
        <w:rPr>
          <w:rFonts w:ascii="Arial" w:hAnsi="Arial" w:cs="Arial"/>
        </w:rPr>
        <w:t xml:space="preserve">he solution is based on both aspects, from an operating standpoint </w:t>
      </w:r>
      <w:r w:rsidR="00BF7B60">
        <w:rPr>
          <w:rFonts w:ascii="Arial" w:hAnsi="Arial" w:cs="Arial"/>
        </w:rPr>
        <w:t xml:space="preserve">they are independent. </w:t>
      </w:r>
      <w:r w:rsidR="00B10C5B">
        <w:rPr>
          <w:rFonts w:ascii="Arial" w:hAnsi="Arial" w:cs="Arial"/>
        </w:rPr>
        <w:t>In addition, the essential part of the solution is the Rx-side aspect</w:t>
      </w:r>
      <w:r w:rsidR="0002644D">
        <w:rPr>
          <w:rFonts w:ascii="Arial" w:hAnsi="Arial" w:cs="Arial"/>
        </w:rPr>
        <w:t xml:space="preserve"> used to abandon outdated SDUs.</w:t>
      </w:r>
      <w:r w:rsidR="00B10C5B">
        <w:rPr>
          <w:rFonts w:ascii="Arial" w:hAnsi="Arial" w:cs="Arial"/>
        </w:rPr>
        <w:t xml:space="preserve"> </w:t>
      </w:r>
    </w:p>
    <w:p w14:paraId="298BB167" w14:textId="2FA828C4" w:rsidR="00190FEC" w:rsidRDefault="00190FEC" w:rsidP="00190FEC">
      <w:pPr>
        <w:pStyle w:val="Observation"/>
        <w:numPr>
          <w:ilvl w:val="0"/>
          <w:numId w:val="4"/>
        </w:numPr>
        <w:spacing w:after="180"/>
        <w:ind w:left="1701" w:hanging="1701"/>
      </w:pPr>
      <w:bookmarkStart w:id="9" w:name="_Toc197641154"/>
      <w:r>
        <w:t>From an operation standpoint, the Tx-side and Rx-side aspect</w:t>
      </w:r>
      <w:r w:rsidR="00B47C2D">
        <w:t>s</w:t>
      </w:r>
      <w:r>
        <w:t xml:space="preserve"> are independent with </w:t>
      </w:r>
      <w:r w:rsidR="00662E83">
        <w:t>the Rx-side aspect</w:t>
      </w:r>
      <w:r w:rsidR="00764978">
        <w:t xml:space="preserve"> being more essential.</w:t>
      </w:r>
      <w:bookmarkEnd w:id="9"/>
      <w:r w:rsidR="00764978">
        <w:t xml:space="preserve"> </w:t>
      </w:r>
    </w:p>
    <w:p w14:paraId="0A1A74EA" w14:textId="0775BF89" w:rsidR="004443E0" w:rsidRDefault="002E41B1" w:rsidP="00775E2A">
      <w:pPr>
        <w:jc w:val="both"/>
        <w:rPr>
          <w:rFonts w:ascii="Arial" w:hAnsi="Arial" w:cs="Arial"/>
        </w:rPr>
      </w:pPr>
      <w:r>
        <w:rPr>
          <w:rFonts w:ascii="Arial" w:hAnsi="Arial" w:cs="Arial"/>
        </w:rPr>
        <w:t xml:space="preserve">Thus, </w:t>
      </w:r>
      <w:r w:rsidR="00A2141B">
        <w:rPr>
          <w:rFonts w:ascii="Arial" w:hAnsi="Arial" w:cs="Arial"/>
        </w:rPr>
        <w:t>b</w:t>
      </w:r>
      <w:r w:rsidR="00775E2A">
        <w:rPr>
          <w:rFonts w:ascii="Arial" w:hAnsi="Arial" w:cs="Arial"/>
        </w:rPr>
        <w:t xml:space="preserve">undling the two </w:t>
      </w:r>
      <w:r w:rsidR="007D361A">
        <w:rPr>
          <w:rFonts w:ascii="Arial" w:hAnsi="Arial" w:cs="Arial"/>
        </w:rPr>
        <w:t xml:space="preserve">aspects </w:t>
      </w:r>
      <w:r w:rsidR="00775E2A">
        <w:rPr>
          <w:rFonts w:ascii="Arial" w:hAnsi="Arial" w:cs="Arial"/>
        </w:rPr>
        <w:t xml:space="preserve">into a single </w:t>
      </w:r>
      <w:r w:rsidR="007D30E6">
        <w:rPr>
          <w:rFonts w:ascii="Arial" w:hAnsi="Arial" w:cs="Arial"/>
        </w:rPr>
        <w:t xml:space="preserve">per-UE </w:t>
      </w:r>
      <w:r w:rsidR="00775E2A">
        <w:rPr>
          <w:rFonts w:ascii="Arial" w:hAnsi="Arial" w:cs="Arial"/>
        </w:rPr>
        <w:t xml:space="preserve">capability </w:t>
      </w:r>
      <w:r w:rsidR="009D5E46">
        <w:rPr>
          <w:rFonts w:ascii="Arial" w:hAnsi="Arial" w:cs="Arial"/>
        </w:rPr>
        <w:t xml:space="preserve">results in </w:t>
      </w:r>
      <w:r w:rsidR="00421CEF">
        <w:rPr>
          <w:rFonts w:ascii="Arial" w:hAnsi="Arial" w:cs="Arial"/>
        </w:rPr>
        <w:t xml:space="preserve">UE vendors having less </w:t>
      </w:r>
      <w:r w:rsidR="00620291">
        <w:rPr>
          <w:rFonts w:ascii="Arial" w:hAnsi="Arial" w:cs="Arial"/>
        </w:rPr>
        <w:t xml:space="preserve">flexibility in </w:t>
      </w:r>
      <w:r w:rsidR="00613320">
        <w:rPr>
          <w:rFonts w:ascii="Arial" w:hAnsi="Arial" w:cs="Arial"/>
        </w:rPr>
        <w:t>implementation</w:t>
      </w:r>
      <w:r w:rsidR="00EC2CDF">
        <w:rPr>
          <w:rFonts w:ascii="Arial" w:hAnsi="Arial" w:cs="Arial"/>
        </w:rPr>
        <w:t xml:space="preserve"> and </w:t>
      </w:r>
      <w:r w:rsidR="00775E2A">
        <w:rPr>
          <w:rFonts w:ascii="Arial" w:hAnsi="Arial" w:cs="Arial"/>
        </w:rPr>
        <w:t xml:space="preserve">forces </w:t>
      </w:r>
      <w:r w:rsidR="00613320">
        <w:rPr>
          <w:rFonts w:ascii="Arial" w:hAnsi="Arial" w:cs="Arial"/>
        </w:rPr>
        <w:t>them</w:t>
      </w:r>
      <w:r w:rsidR="00775E2A">
        <w:rPr>
          <w:rFonts w:ascii="Arial" w:hAnsi="Arial" w:cs="Arial"/>
        </w:rPr>
        <w:t xml:space="preserve"> to implement both </w:t>
      </w:r>
      <w:r w:rsidR="00BA73C9">
        <w:rPr>
          <w:rFonts w:ascii="Arial" w:hAnsi="Arial" w:cs="Arial"/>
        </w:rPr>
        <w:t>aspects</w:t>
      </w:r>
      <w:r w:rsidR="00775E2A">
        <w:rPr>
          <w:rFonts w:ascii="Arial" w:hAnsi="Arial" w:cs="Arial"/>
        </w:rPr>
        <w:t xml:space="preserve"> thereby delaying time to market</w:t>
      </w:r>
      <w:r w:rsidR="0030017F">
        <w:rPr>
          <w:rFonts w:ascii="Arial" w:hAnsi="Arial" w:cs="Arial"/>
        </w:rPr>
        <w:t xml:space="preserve"> (i.e., longer implementation </w:t>
      </w:r>
      <w:r w:rsidR="003F2CAE">
        <w:rPr>
          <w:rFonts w:ascii="Arial" w:hAnsi="Arial" w:cs="Arial"/>
        </w:rPr>
        <w:t xml:space="preserve">and interoperability testing </w:t>
      </w:r>
      <w:r w:rsidR="0030017F">
        <w:rPr>
          <w:rFonts w:ascii="Arial" w:hAnsi="Arial" w:cs="Arial"/>
        </w:rPr>
        <w:t>timeline)</w:t>
      </w:r>
      <w:r w:rsidR="00775E2A">
        <w:rPr>
          <w:rFonts w:ascii="Arial" w:hAnsi="Arial" w:cs="Arial"/>
        </w:rPr>
        <w:t xml:space="preserve">. </w:t>
      </w:r>
      <w:r w:rsidR="00EC7290">
        <w:rPr>
          <w:rFonts w:ascii="Arial" w:hAnsi="Arial" w:cs="Arial"/>
        </w:rPr>
        <w:t>In general, aspects independent of each other as a matter of principle should not be bundled.</w:t>
      </w:r>
    </w:p>
    <w:p w14:paraId="206BA87D" w14:textId="390EEE11" w:rsidR="004443E0" w:rsidRDefault="0092408F" w:rsidP="00190FEC">
      <w:pPr>
        <w:pStyle w:val="Observation"/>
        <w:numPr>
          <w:ilvl w:val="0"/>
          <w:numId w:val="4"/>
        </w:numPr>
        <w:spacing w:after="180"/>
        <w:ind w:left="1701" w:hanging="1701"/>
      </w:pPr>
      <w:bookmarkStart w:id="10" w:name="_Toc197641155"/>
      <w:r>
        <w:t xml:space="preserve">Independent </w:t>
      </w:r>
      <w:r w:rsidR="00E76301">
        <w:t>aspects</w:t>
      </w:r>
      <w:r w:rsidR="00F763A6">
        <w:t xml:space="preserve"> </w:t>
      </w:r>
      <w:r w:rsidR="00642C53">
        <w:t xml:space="preserve">of a solution </w:t>
      </w:r>
      <w:r w:rsidR="00F763A6">
        <w:t xml:space="preserve">should not be bundled into a single </w:t>
      </w:r>
      <w:r w:rsidR="001C5E8A">
        <w:t xml:space="preserve">UE </w:t>
      </w:r>
      <w:r w:rsidR="00F763A6">
        <w:t>capability.</w:t>
      </w:r>
      <w:bookmarkEnd w:id="10"/>
      <w:r w:rsidR="00F763A6">
        <w:t xml:space="preserve"> </w:t>
      </w:r>
    </w:p>
    <w:p w14:paraId="6AD49965" w14:textId="058E14CB" w:rsidR="00775E2A" w:rsidRDefault="00775E2A" w:rsidP="00775E2A">
      <w:pPr>
        <w:jc w:val="both"/>
        <w:rPr>
          <w:rFonts w:ascii="Arial" w:hAnsi="Arial" w:cs="Arial"/>
        </w:rPr>
      </w:pPr>
      <w:r>
        <w:rPr>
          <w:rFonts w:ascii="Arial" w:hAnsi="Arial" w:cs="Arial"/>
        </w:rPr>
        <w:t xml:space="preserve">Hence, we propose that RAN2 defines two </w:t>
      </w:r>
      <w:r w:rsidR="00B623A1">
        <w:rPr>
          <w:rFonts w:ascii="Arial" w:hAnsi="Arial" w:cs="Arial"/>
        </w:rPr>
        <w:t>(</w:t>
      </w:r>
      <w:r w:rsidR="00256684">
        <w:rPr>
          <w:rFonts w:ascii="Arial" w:hAnsi="Arial" w:cs="Arial"/>
        </w:rPr>
        <w:t>optional</w:t>
      </w:r>
      <w:r w:rsidR="00B623A1">
        <w:rPr>
          <w:rFonts w:ascii="Arial" w:hAnsi="Arial" w:cs="Arial"/>
        </w:rPr>
        <w:t>)</w:t>
      </w:r>
      <w:r w:rsidR="00256684">
        <w:rPr>
          <w:rFonts w:ascii="Arial" w:hAnsi="Arial" w:cs="Arial"/>
        </w:rPr>
        <w:t xml:space="preserve"> </w:t>
      </w:r>
      <w:r w:rsidR="00B623A1">
        <w:rPr>
          <w:rFonts w:ascii="Arial" w:hAnsi="Arial" w:cs="Arial"/>
        </w:rPr>
        <w:t>per-</w:t>
      </w:r>
      <w:r w:rsidR="00256684">
        <w:rPr>
          <w:rFonts w:ascii="Arial" w:hAnsi="Arial" w:cs="Arial"/>
        </w:rPr>
        <w:t xml:space="preserve">UE </w:t>
      </w:r>
      <w:r>
        <w:rPr>
          <w:rFonts w:ascii="Arial" w:hAnsi="Arial" w:cs="Arial"/>
        </w:rPr>
        <w:t xml:space="preserve">capabilities to cover the Tx-side and Rx-side </w:t>
      </w:r>
      <w:r w:rsidR="009A0B3B">
        <w:rPr>
          <w:rFonts w:ascii="Arial" w:hAnsi="Arial" w:cs="Arial"/>
        </w:rPr>
        <w:t>aspects with the Tx-side</w:t>
      </w:r>
      <w:r w:rsidR="006E17A7">
        <w:rPr>
          <w:rFonts w:ascii="Arial" w:hAnsi="Arial" w:cs="Arial"/>
        </w:rPr>
        <w:t xml:space="preserve"> </w:t>
      </w:r>
      <w:r w:rsidR="00E512E4">
        <w:rPr>
          <w:rFonts w:ascii="Arial" w:hAnsi="Arial" w:cs="Arial"/>
        </w:rPr>
        <w:t xml:space="preserve">capability </w:t>
      </w:r>
      <w:r w:rsidR="006E17A7">
        <w:rPr>
          <w:rFonts w:ascii="Arial" w:hAnsi="Arial" w:cs="Arial"/>
        </w:rPr>
        <w:t>conditional on the Rx-side</w:t>
      </w:r>
      <w:r w:rsidR="00BD4B9E">
        <w:rPr>
          <w:rFonts w:ascii="Arial" w:hAnsi="Arial" w:cs="Arial"/>
        </w:rPr>
        <w:t xml:space="preserve"> capability</w:t>
      </w:r>
      <w:r w:rsidR="006E17A7">
        <w:rPr>
          <w:rFonts w:ascii="Arial" w:hAnsi="Arial" w:cs="Arial"/>
        </w:rPr>
        <w:t xml:space="preserve">. </w:t>
      </w:r>
      <w:r w:rsidR="00463EFE">
        <w:rPr>
          <w:rFonts w:ascii="Arial" w:hAnsi="Arial" w:cs="Arial"/>
        </w:rPr>
        <w:t>This</w:t>
      </w:r>
      <w:r w:rsidR="009A0B3B">
        <w:rPr>
          <w:rFonts w:ascii="Arial" w:hAnsi="Arial" w:cs="Arial"/>
        </w:rPr>
        <w:t xml:space="preserve"> </w:t>
      </w:r>
      <w:r>
        <w:rPr>
          <w:rFonts w:ascii="Arial" w:hAnsi="Arial" w:cs="Arial"/>
        </w:rPr>
        <w:t>allow</w:t>
      </w:r>
      <w:r w:rsidR="00463EFE">
        <w:rPr>
          <w:rFonts w:ascii="Arial" w:hAnsi="Arial" w:cs="Arial"/>
        </w:rPr>
        <w:t>s</w:t>
      </w:r>
      <w:r>
        <w:rPr>
          <w:rFonts w:ascii="Arial" w:hAnsi="Arial" w:cs="Arial"/>
        </w:rPr>
        <w:t xml:space="preserve"> vendors to </w:t>
      </w:r>
      <w:r w:rsidR="00B8078A">
        <w:rPr>
          <w:rFonts w:ascii="Arial" w:hAnsi="Arial" w:cs="Arial"/>
        </w:rPr>
        <w:t>stagger their</w:t>
      </w:r>
      <w:r>
        <w:rPr>
          <w:rFonts w:ascii="Arial" w:hAnsi="Arial" w:cs="Arial"/>
        </w:rPr>
        <w:t xml:space="preserve"> implementatio</w:t>
      </w:r>
      <w:r w:rsidR="00B8078A">
        <w:rPr>
          <w:rFonts w:ascii="Arial" w:hAnsi="Arial" w:cs="Arial"/>
        </w:rPr>
        <w:t>n of this feature resulting in faster time to market</w:t>
      </w:r>
      <w:r w:rsidR="00EF2E02">
        <w:rPr>
          <w:rFonts w:ascii="Arial" w:hAnsi="Arial" w:cs="Arial"/>
        </w:rPr>
        <w:t xml:space="preserve"> by focusing on implementation of the essential aspect. </w:t>
      </w:r>
      <w:r w:rsidR="00B8078A">
        <w:rPr>
          <w:rFonts w:ascii="Arial" w:hAnsi="Arial" w:cs="Arial"/>
        </w:rPr>
        <w:t xml:space="preserve"> </w:t>
      </w:r>
    </w:p>
    <w:p w14:paraId="73B29223" w14:textId="0E63D504" w:rsidR="00655FF9" w:rsidRDefault="00A01862" w:rsidP="00A01862">
      <w:pPr>
        <w:pStyle w:val="Proposal"/>
      </w:pPr>
      <w:bookmarkStart w:id="11" w:name="_Toc193205842"/>
      <w:bookmarkStart w:id="12" w:name="_Toc193205942"/>
      <w:bookmarkStart w:id="13" w:name="_Toc193209348"/>
      <w:bookmarkStart w:id="14" w:name="_Toc193660005"/>
      <w:bookmarkStart w:id="15" w:name="_Toc194011185"/>
      <w:bookmarkStart w:id="16" w:name="_Toc196731322"/>
      <w:bookmarkStart w:id="17" w:name="_Toc196849146"/>
      <w:bookmarkStart w:id="18" w:name="_Toc197641156"/>
      <w:r>
        <w:t xml:space="preserve">Define an </w:t>
      </w:r>
      <w:r w:rsidR="00467980">
        <w:t>(</w:t>
      </w:r>
      <w:r>
        <w:t>optional</w:t>
      </w:r>
      <w:r w:rsidR="00467980">
        <w:t>)</w:t>
      </w:r>
      <w:r>
        <w:t xml:space="preserve"> </w:t>
      </w:r>
      <w:r w:rsidR="00467980">
        <w:t>per-</w:t>
      </w:r>
      <w:r>
        <w:t xml:space="preserve">UE capability </w:t>
      </w:r>
      <w:r w:rsidR="000D174E">
        <w:t xml:space="preserve">with signalling </w:t>
      </w:r>
      <w:r>
        <w:t xml:space="preserve">for the Rx-side </w:t>
      </w:r>
      <w:r w:rsidR="009B350E">
        <w:t xml:space="preserve">aspect, </w:t>
      </w:r>
      <w:r w:rsidR="00031D07">
        <w:t>where an outdated SDU is aba</w:t>
      </w:r>
      <w:r w:rsidR="002E4BE2">
        <w:t>ndoned based on a new RLC timer</w:t>
      </w:r>
      <w:r w:rsidR="003E32FB">
        <w:t xml:space="preserve"> and the abandoned SDUs are positively acknowledged in an RLC status report.</w:t>
      </w:r>
      <w:bookmarkEnd w:id="11"/>
      <w:bookmarkEnd w:id="12"/>
      <w:bookmarkEnd w:id="13"/>
      <w:bookmarkEnd w:id="14"/>
      <w:bookmarkEnd w:id="15"/>
      <w:bookmarkEnd w:id="16"/>
      <w:bookmarkEnd w:id="17"/>
      <w:bookmarkEnd w:id="18"/>
      <w:r w:rsidR="003E32FB">
        <w:t xml:space="preserve"> </w:t>
      </w:r>
      <w:r w:rsidR="002E4BE2">
        <w:t xml:space="preserve"> </w:t>
      </w:r>
    </w:p>
    <w:p w14:paraId="09F236A8" w14:textId="11C9825F" w:rsidR="0008583D" w:rsidRDefault="0008583D" w:rsidP="00A01862">
      <w:pPr>
        <w:pStyle w:val="Proposal"/>
      </w:pPr>
      <w:bookmarkStart w:id="19" w:name="_Toc193205843"/>
      <w:bookmarkStart w:id="20" w:name="_Toc193205943"/>
      <w:bookmarkStart w:id="21" w:name="_Toc193209349"/>
      <w:bookmarkStart w:id="22" w:name="_Toc193660006"/>
      <w:bookmarkStart w:id="23" w:name="_Toc194011186"/>
      <w:bookmarkStart w:id="24" w:name="_Toc196731323"/>
      <w:bookmarkStart w:id="25" w:name="_Toc196849147"/>
      <w:bookmarkStart w:id="26" w:name="_Toc197641157"/>
      <w:r>
        <w:lastRenderedPageBreak/>
        <w:t xml:space="preserve">Define an </w:t>
      </w:r>
      <w:r w:rsidR="00A23275">
        <w:t>(</w:t>
      </w:r>
      <w:r>
        <w:t>optional</w:t>
      </w:r>
      <w:r w:rsidR="00A23275">
        <w:t>)</w:t>
      </w:r>
      <w:r>
        <w:t xml:space="preserve"> </w:t>
      </w:r>
      <w:r w:rsidR="00A23275">
        <w:t>per-</w:t>
      </w:r>
      <w:r>
        <w:t xml:space="preserve">UE capability </w:t>
      </w:r>
      <w:r w:rsidR="00B136D8">
        <w:t xml:space="preserve">with signalling </w:t>
      </w:r>
      <w:r>
        <w:t xml:space="preserve">for the Tx-side </w:t>
      </w:r>
      <w:r w:rsidR="009B350E">
        <w:t xml:space="preserve">aspect, </w:t>
      </w:r>
      <w:r w:rsidR="00C57D1B">
        <w:t xml:space="preserve">where the Tx side stops transmissions for an outdated SDU </w:t>
      </w:r>
      <w:r w:rsidR="00BB7AED">
        <w:t>based on an indication from the PDCP.</w:t>
      </w:r>
      <w:bookmarkEnd w:id="19"/>
      <w:bookmarkEnd w:id="20"/>
      <w:bookmarkEnd w:id="21"/>
      <w:bookmarkEnd w:id="22"/>
      <w:bookmarkEnd w:id="23"/>
      <w:bookmarkEnd w:id="24"/>
      <w:r w:rsidR="00AA79E9">
        <w:t xml:space="preserve"> A UE supporting this feature shall also indicate the support of Rx-side aspect.</w:t>
      </w:r>
      <w:bookmarkEnd w:id="25"/>
      <w:bookmarkEnd w:id="26"/>
      <w:r w:rsidR="00AA79E9">
        <w:t xml:space="preserve"> </w:t>
      </w:r>
      <w:r w:rsidR="00BB7AED">
        <w:t xml:space="preserve"> </w:t>
      </w:r>
    </w:p>
    <w:p w14:paraId="742AD825" w14:textId="23C72868" w:rsidR="008E5EFA" w:rsidRDefault="005E7AAE" w:rsidP="008E5EFA">
      <w:pPr>
        <w:pStyle w:val="Heading1"/>
      </w:pPr>
      <w:bookmarkStart w:id="27" w:name="_Toc70424553"/>
      <w:bookmarkStart w:id="28" w:name="_Toc134612747"/>
      <w:bookmarkStart w:id="29" w:name="_Toc1850742494"/>
      <w:bookmarkStart w:id="30" w:name="_Toc1858079276"/>
      <w:bookmarkStart w:id="31" w:name="_Ref189046994"/>
      <w:bookmarkEnd w:id="27"/>
      <w:r>
        <w:t>3</w:t>
      </w:r>
      <w:r w:rsidR="008E5EFA">
        <w:t xml:space="preserve"> </w:t>
      </w:r>
      <w:r w:rsidR="00583B0D">
        <w:tab/>
      </w:r>
      <w:r w:rsidR="008E5EFA" w:rsidRPr="00CE0424">
        <w:t>Conclusion</w:t>
      </w:r>
      <w:bookmarkEnd w:id="28"/>
      <w:bookmarkEnd w:id="29"/>
      <w:bookmarkEnd w:id="30"/>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432B6204" w14:textId="2EE40D37" w:rsidR="00381654" w:rsidRPr="008F140B" w:rsidRDefault="00D83B21" w:rsidP="008F140B">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197641153" w:history="1">
        <w:r w:rsidR="00381654" w:rsidRPr="008F140B">
          <w:rPr>
            <w:rStyle w:val="Hyperlink"/>
            <w:rFonts w:ascii="Arial" w:hAnsi="Arial" w:cs="Arial"/>
            <w:b/>
            <w:bCs/>
            <w:sz w:val="20"/>
            <w:szCs w:val="18"/>
          </w:rPr>
          <w:t>Observation 1</w:t>
        </w:r>
        <w:r w:rsidR="00381654" w:rsidRPr="008F140B">
          <w:rPr>
            <w:rFonts w:ascii="Arial" w:eastAsiaTheme="minorEastAsia" w:hAnsi="Arial" w:cs="Arial"/>
            <w:b/>
            <w:bCs/>
            <w:kern w:val="2"/>
            <w:szCs w:val="22"/>
            <w:lang w:val="en-DE" w:eastAsia="en-DE"/>
            <w14:ligatures w14:val="standardContextual"/>
          </w:rPr>
          <w:tab/>
        </w:r>
        <w:r w:rsidR="00381654" w:rsidRPr="008F140B">
          <w:rPr>
            <w:rStyle w:val="Hyperlink"/>
            <w:rFonts w:ascii="Arial" w:hAnsi="Arial" w:cs="Arial"/>
            <w:b/>
            <w:bCs/>
            <w:sz w:val="20"/>
            <w:szCs w:val="18"/>
          </w:rPr>
          <w:t>All the solutions for RLC AM enhancements should have per-UE capabilities with signalling.</w:t>
        </w:r>
      </w:hyperlink>
    </w:p>
    <w:p w14:paraId="725BFF47" w14:textId="70DEE863" w:rsidR="00381654" w:rsidRPr="008F140B" w:rsidRDefault="00381654" w:rsidP="008F140B">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41154" w:history="1">
        <w:r w:rsidRPr="008F140B">
          <w:rPr>
            <w:rStyle w:val="Hyperlink"/>
            <w:rFonts w:ascii="Arial" w:hAnsi="Arial" w:cs="Arial"/>
            <w:b/>
            <w:bCs/>
            <w:sz w:val="20"/>
            <w:szCs w:val="18"/>
          </w:rPr>
          <w:t>Observation 2</w:t>
        </w:r>
        <w:r w:rsidRPr="008F140B">
          <w:rPr>
            <w:rFonts w:ascii="Arial" w:eastAsiaTheme="minorEastAsia" w:hAnsi="Arial" w:cs="Arial"/>
            <w:b/>
            <w:bCs/>
            <w:kern w:val="2"/>
            <w:szCs w:val="22"/>
            <w:lang w:val="en-DE" w:eastAsia="en-DE"/>
            <w14:ligatures w14:val="standardContextual"/>
          </w:rPr>
          <w:tab/>
        </w:r>
        <w:r w:rsidRPr="008F140B">
          <w:rPr>
            <w:rStyle w:val="Hyperlink"/>
            <w:rFonts w:ascii="Arial" w:hAnsi="Arial" w:cs="Arial"/>
            <w:b/>
            <w:bCs/>
            <w:sz w:val="20"/>
            <w:szCs w:val="18"/>
          </w:rPr>
          <w:t>From an operation standpoint, the Tx-side and Rx-side aspects are independent with the Rx-side aspect being more essential.</w:t>
        </w:r>
      </w:hyperlink>
    </w:p>
    <w:p w14:paraId="4E5D401A" w14:textId="5BB0C6DA" w:rsidR="00381654" w:rsidRPr="008F140B" w:rsidRDefault="00381654" w:rsidP="008F140B">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41155" w:history="1">
        <w:r w:rsidRPr="008F140B">
          <w:rPr>
            <w:rStyle w:val="Hyperlink"/>
            <w:rFonts w:ascii="Arial" w:hAnsi="Arial" w:cs="Arial"/>
            <w:b/>
            <w:bCs/>
            <w:sz w:val="20"/>
            <w:szCs w:val="18"/>
          </w:rPr>
          <w:t>Observation 3</w:t>
        </w:r>
        <w:r w:rsidRPr="008F140B">
          <w:rPr>
            <w:rFonts w:ascii="Arial" w:eastAsiaTheme="minorEastAsia" w:hAnsi="Arial" w:cs="Arial"/>
            <w:b/>
            <w:bCs/>
            <w:kern w:val="2"/>
            <w:szCs w:val="22"/>
            <w:lang w:val="en-DE" w:eastAsia="en-DE"/>
            <w14:ligatures w14:val="standardContextual"/>
          </w:rPr>
          <w:tab/>
        </w:r>
        <w:r w:rsidRPr="008F140B">
          <w:rPr>
            <w:rStyle w:val="Hyperlink"/>
            <w:rFonts w:ascii="Arial" w:hAnsi="Arial" w:cs="Arial"/>
            <w:b/>
            <w:bCs/>
            <w:sz w:val="20"/>
            <w:szCs w:val="18"/>
          </w:rPr>
          <w:t>Independent aspects of a solution should not be bundled into a single UE capability.</w:t>
        </w:r>
      </w:hyperlink>
    </w:p>
    <w:p w14:paraId="7288E480" w14:textId="6A710247" w:rsidR="000528D4" w:rsidRDefault="00D83B21" w:rsidP="0063549B">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31"/>
    </w:p>
    <w:p w14:paraId="3963DD7A" w14:textId="77777777" w:rsidR="00381654" w:rsidRPr="005846FB" w:rsidRDefault="006C5D0C" w:rsidP="005846FB">
      <w:pPr>
        <w:pStyle w:val="TOC1"/>
        <w:tabs>
          <w:tab w:val="left" w:pos="1418"/>
        </w:tabs>
        <w:ind w:left="1418" w:hanging="1418"/>
        <w:jc w:val="both"/>
        <w:rPr>
          <w:rFonts w:ascii="Arial" w:eastAsiaTheme="minorEastAsia" w:hAnsi="Arial" w:cs="Arial"/>
          <w:b/>
          <w:bCs/>
          <w:kern w:val="2"/>
          <w:sz w:val="20"/>
          <w:lang w:val="en-DE" w:eastAsia="en-DE"/>
          <w14:ligatures w14:val="standardContextual"/>
        </w:rPr>
      </w:pPr>
      <w:r w:rsidRPr="005846FB">
        <w:rPr>
          <w:rFonts w:ascii="Arial" w:hAnsi="Arial" w:cs="Arial"/>
          <w:b/>
          <w:bCs/>
          <w:sz w:val="20"/>
        </w:rPr>
        <w:fldChar w:fldCharType="begin"/>
      </w:r>
      <w:r w:rsidRPr="005846FB">
        <w:rPr>
          <w:rFonts w:ascii="Arial" w:hAnsi="Arial" w:cs="Arial"/>
          <w:b/>
          <w:bCs/>
          <w:sz w:val="20"/>
        </w:rPr>
        <w:instrText xml:space="preserve"> TOC \n \t "Proposal,1" </w:instrText>
      </w:r>
      <w:r w:rsidRPr="005846FB">
        <w:rPr>
          <w:rFonts w:ascii="Arial" w:hAnsi="Arial" w:cs="Arial"/>
          <w:b/>
          <w:bCs/>
          <w:sz w:val="20"/>
        </w:rPr>
        <w:fldChar w:fldCharType="separate"/>
      </w:r>
      <w:r w:rsidR="00381654" w:rsidRPr="005846FB">
        <w:rPr>
          <w:rFonts w:ascii="Arial" w:hAnsi="Arial" w:cs="Arial"/>
          <w:b/>
          <w:bCs/>
          <w:sz w:val="20"/>
        </w:rPr>
        <w:t>Proposal 1</w:t>
      </w:r>
      <w:r w:rsidR="00381654" w:rsidRPr="005846FB">
        <w:rPr>
          <w:rFonts w:ascii="Arial" w:eastAsiaTheme="minorEastAsia" w:hAnsi="Arial" w:cs="Arial"/>
          <w:b/>
          <w:bCs/>
          <w:kern w:val="2"/>
          <w:sz w:val="20"/>
          <w:lang w:val="en-DE" w:eastAsia="en-DE"/>
          <w14:ligatures w14:val="standardContextual"/>
        </w:rPr>
        <w:tab/>
      </w:r>
      <w:r w:rsidR="00381654" w:rsidRPr="005846FB">
        <w:rPr>
          <w:rFonts w:ascii="Arial" w:hAnsi="Arial" w:cs="Arial"/>
          <w:b/>
          <w:bCs/>
          <w:sz w:val="20"/>
        </w:rPr>
        <w:t>Define an (optional) per-UE capability with signalling for the Rx-side aspect, where an outdated SDU is abandoned based on a new RLC timer and the abandoned SDUs are positively acknowledged in an RLC status report.</w:t>
      </w:r>
    </w:p>
    <w:p w14:paraId="47346AB6" w14:textId="77777777" w:rsidR="00381654" w:rsidRPr="005846FB" w:rsidRDefault="00381654" w:rsidP="005846FB">
      <w:pPr>
        <w:pStyle w:val="TOC1"/>
        <w:tabs>
          <w:tab w:val="left" w:pos="1418"/>
        </w:tabs>
        <w:ind w:left="1418" w:hanging="1418"/>
        <w:jc w:val="both"/>
        <w:rPr>
          <w:rFonts w:ascii="Arial" w:eastAsiaTheme="minorEastAsia" w:hAnsi="Arial" w:cs="Arial"/>
          <w:b/>
          <w:bCs/>
          <w:kern w:val="2"/>
          <w:sz w:val="20"/>
          <w:lang w:val="en-DE" w:eastAsia="en-DE"/>
          <w14:ligatures w14:val="standardContextual"/>
        </w:rPr>
      </w:pPr>
      <w:r w:rsidRPr="005846FB">
        <w:rPr>
          <w:rFonts w:ascii="Arial" w:hAnsi="Arial" w:cs="Arial"/>
          <w:b/>
          <w:bCs/>
          <w:sz w:val="20"/>
        </w:rPr>
        <w:t>Proposal 2</w:t>
      </w:r>
      <w:r w:rsidRPr="005846FB">
        <w:rPr>
          <w:rFonts w:ascii="Arial" w:eastAsiaTheme="minorEastAsia" w:hAnsi="Arial" w:cs="Arial"/>
          <w:b/>
          <w:bCs/>
          <w:kern w:val="2"/>
          <w:sz w:val="20"/>
          <w:lang w:val="en-DE" w:eastAsia="en-DE"/>
          <w14:ligatures w14:val="standardContextual"/>
        </w:rPr>
        <w:tab/>
      </w:r>
      <w:r w:rsidRPr="005846FB">
        <w:rPr>
          <w:rFonts w:ascii="Arial" w:hAnsi="Arial" w:cs="Arial"/>
          <w:b/>
          <w:bCs/>
          <w:sz w:val="20"/>
        </w:rPr>
        <w:t>Define an (optional) per-UE capability with signalling for the Tx-side aspect, where the Tx side stops transmissions for an outdated SDU based on an indication from the PDCP. A UE supporting this feature shall also indicate the support of Rx-side aspect.</w:t>
      </w:r>
    </w:p>
    <w:p w14:paraId="74C12705" w14:textId="40EE9658" w:rsidR="0063549B" w:rsidRPr="00D3306E" w:rsidRDefault="006C5D0C" w:rsidP="005846FB">
      <w:pPr>
        <w:pStyle w:val="BodyText"/>
        <w:spacing w:before="120"/>
        <w:ind w:left="1709" w:right="425" w:hangingChars="851" w:hanging="1709"/>
      </w:pPr>
      <w:r w:rsidRPr="005846FB">
        <w:rPr>
          <w:rFonts w:eastAsia="SimSun" w:cs="Arial"/>
          <w:b/>
          <w:bCs/>
          <w:noProof/>
        </w:rPr>
        <w:fldChar w:fldCharType="end"/>
      </w:r>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4F28" w14:textId="77777777" w:rsidR="004E4825" w:rsidRDefault="004E4825">
      <w:r>
        <w:separator/>
      </w:r>
    </w:p>
  </w:endnote>
  <w:endnote w:type="continuationSeparator" w:id="0">
    <w:p w14:paraId="107ADF09" w14:textId="77777777" w:rsidR="004E4825" w:rsidRDefault="004E4825">
      <w:r>
        <w:continuationSeparator/>
      </w:r>
    </w:p>
  </w:endnote>
  <w:endnote w:type="continuationNotice" w:id="1">
    <w:p w14:paraId="0C13F07A" w14:textId="77777777" w:rsidR="004E4825" w:rsidRDefault="004E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31EF9" w14:textId="77777777" w:rsidR="004E4825" w:rsidRDefault="004E4825">
      <w:r>
        <w:separator/>
      </w:r>
    </w:p>
  </w:footnote>
  <w:footnote w:type="continuationSeparator" w:id="0">
    <w:p w14:paraId="2572E959" w14:textId="77777777" w:rsidR="004E4825" w:rsidRDefault="004E4825">
      <w:r>
        <w:continuationSeparator/>
      </w:r>
    </w:p>
  </w:footnote>
  <w:footnote w:type="continuationNotice" w:id="1">
    <w:p w14:paraId="69B898E1" w14:textId="77777777" w:rsidR="004E4825" w:rsidRDefault="004E4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18"/>
  </w:num>
  <w:num w:numId="2" w16cid:durableId="582224878">
    <w:abstractNumId w:val="15"/>
  </w:num>
  <w:num w:numId="3" w16cid:durableId="1877815550">
    <w:abstractNumId w:val="0"/>
  </w:num>
  <w:num w:numId="4" w16cid:durableId="638649196">
    <w:abstractNumId w:val="21"/>
  </w:num>
  <w:num w:numId="5" w16cid:durableId="1325475375">
    <w:abstractNumId w:val="23"/>
  </w:num>
  <w:num w:numId="6" w16cid:durableId="1113592397">
    <w:abstractNumId w:val="25"/>
  </w:num>
  <w:num w:numId="7" w16cid:durableId="1847137624">
    <w:abstractNumId w:val="10"/>
  </w:num>
  <w:num w:numId="8" w16cid:durableId="526597527">
    <w:abstractNumId w:val="12"/>
  </w:num>
  <w:num w:numId="9" w16cid:durableId="2011524079">
    <w:abstractNumId w:val="2"/>
  </w:num>
  <w:num w:numId="10" w16cid:durableId="772897741">
    <w:abstractNumId w:val="32"/>
  </w:num>
  <w:num w:numId="11" w16cid:durableId="273750105">
    <w:abstractNumId w:val="14"/>
  </w:num>
  <w:num w:numId="12" w16cid:durableId="1278368801">
    <w:abstractNumId w:val="30"/>
  </w:num>
  <w:num w:numId="13" w16cid:durableId="680434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1"/>
  </w:num>
  <w:num w:numId="15" w16cid:durableId="1347705831">
    <w:abstractNumId w:val="7"/>
  </w:num>
  <w:num w:numId="16" w16cid:durableId="182596071">
    <w:abstractNumId w:val="11"/>
  </w:num>
  <w:num w:numId="17" w16cid:durableId="718670040">
    <w:abstractNumId w:val="28"/>
  </w:num>
  <w:num w:numId="18" w16cid:durableId="1208950322">
    <w:abstractNumId w:val="9"/>
  </w:num>
  <w:num w:numId="19" w16cid:durableId="966665798">
    <w:abstractNumId w:val="5"/>
  </w:num>
  <w:num w:numId="20" w16cid:durableId="1514417183">
    <w:abstractNumId w:val="6"/>
  </w:num>
  <w:num w:numId="21" w16cid:durableId="544679289">
    <w:abstractNumId w:val="13"/>
  </w:num>
  <w:num w:numId="22" w16cid:durableId="1678341868">
    <w:abstractNumId w:val="27"/>
  </w:num>
  <w:num w:numId="23" w16cid:durableId="1284381231">
    <w:abstractNumId w:val="19"/>
  </w:num>
  <w:num w:numId="24" w16cid:durableId="425885268">
    <w:abstractNumId w:val="20"/>
  </w:num>
  <w:num w:numId="25" w16cid:durableId="1166632032">
    <w:abstractNumId w:val="26"/>
  </w:num>
  <w:num w:numId="26" w16cid:durableId="2078551638">
    <w:abstractNumId w:val="1"/>
  </w:num>
  <w:num w:numId="27" w16cid:durableId="836581958">
    <w:abstractNumId w:val="8"/>
  </w:num>
  <w:num w:numId="28" w16cid:durableId="543759857">
    <w:abstractNumId w:val="24"/>
  </w:num>
  <w:num w:numId="29" w16cid:durableId="655568700">
    <w:abstractNumId w:val="16"/>
  </w:num>
  <w:num w:numId="30" w16cid:durableId="1646819135">
    <w:abstractNumId w:val="4"/>
  </w:num>
  <w:num w:numId="31" w16cid:durableId="373041740">
    <w:abstractNumId w:val="29"/>
  </w:num>
  <w:num w:numId="32" w16cid:durableId="2052873038">
    <w:abstractNumId w:val="17"/>
  </w:num>
  <w:num w:numId="33" w16cid:durableId="450242302">
    <w:abstractNumId w:val="3"/>
  </w:num>
  <w:num w:numId="34" w16cid:durableId="30855451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D9C"/>
    <w:rsid w:val="00022E21"/>
    <w:rsid w:val="00023133"/>
    <w:rsid w:val="000238DB"/>
    <w:rsid w:val="000238F9"/>
    <w:rsid w:val="00023990"/>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CD1"/>
    <w:rsid w:val="000C0123"/>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2444"/>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4C0"/>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900"/>
    <w:rsid w:val="00141FB2"/>
    <w:rsid w:val="00142234"/>
    <w:rsid w:val="0014229E"/>
    <w:rsid w:val="001422E3"/>
    <w:rsid w:val="001425A5"/>
    <w:rsid w:val="001426EB"/>
    <w:rsid w:val="001427DE"/>
    <w:rsid w:val="00142926"/>
    <w:rsid w:val="001429B1"/>
    <w:rsid w:val="00142EB5"/>
    <w:rsid w:val="00142F65"/>
    <w:rsid w:val="00143298"/>
    <w:rsid w:val="00143508"/>
    <w:rsid w:val="00143541"/>
    <w:rsid w:val="001437DD"/>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1EE"/>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721"/>
    <w:rsid w:val="0017180C"/>
    <w:rsid w:val="00171F5F"/>
    <w:rsid w:val="0017225B"/>
    <w:rsid w:val="00172640"/>
    <w:rsid w:val="00172914"/>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52C"/>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30CA"/>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57F4"/>
    <w:rsid w:val="002458B8"/>
    <w:rsid w:val="002458EB"/>
    <w:rsid w:val="002459B3"/>
    <w:rsid w:val="00245B88"/>
    <w:rsid w:val="00245C3F"/>
    <w:rsid w:val="00245E69"/>
    <w:rsid w:val="0024633C"/>
    <w:rsid w:val="00246F16"/>
    <w:rsid w:val="002474C9"/>
    <w:rsid w:val="002500C8"/>
    <w:rsid w:val="002502ED"/>
    <w:rsid w:val="002503F8"/>
    <w:rsid w:val="00250455"/>
    <w:rsid w:val="002506BF"/>
    <w:rsid w:val="00250825"/>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1A49"/>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AE4"/>
    <w:rsid w:val="002E2BDE"/>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85"/>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39E4"/>
    <w:rsid w:val="00303BDB"/>
    <w:rsid w:val="00303BE3"/>
    <w:rsid w:val="00303D36"/>
    <w:rsid w:val="00303E37"/>
    <w:rsid w:val="00303F1F"/>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17DA7"/>
    <w:rsid w:val="003201E9"/>
    <w:rsid w:val="003203ED"/>
    <w:rsid w:val="00320602"/>
    <w:rsid w:val="00320624"/>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553A"/>
    <w:rsid w:val="0033561C"/>
    <w:rsid w:val="003356E7"/>
    <w:rsid w:val="00335858"/>
    <w:rsid w:val="0033595C"/>
    <w:rsid w:val="00335A60"/>
    <w:rsid w:val="00336016"/>
    <w:rsid w:val="00336325"/>
    <w:rsid w:val="003363B5"/>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654"/>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E7D"/>
    <w:rsid w:val="003D0F35"/>
    <w:rsid w:val="003D0F58"/>
    <w:rsid w:val="003D1005"/>
    <w:rsid w:val="003D109F"/>
    <w:rsid w:val="003D14A3"/>
    <w:rsid w:val="003D1B94"/>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9D"/>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F9F"/>
    <w:rsid w:val="00434285"/>
    <w:rsid w:val="004345C4"/>
    <w:rsid w:val="004349E0"/>
    <w:rsid w:val="00434B36"/>
    <w:rsid w:val="00434B3B"/>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3D2"/>
    <w:rsid w:val="00466407"/>
    <w:rsid w:val="00466704"/>
    <w:rsid w:val="00466963"/>
    <w:rsid w:val="004669E2"/>
    <w:rsid w:val="00466B30"/>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25D"/>
    <w:rsid w:val="00491CBB"/>
    <w:rsid w:val="00491E5E"/>
    <w:rsid w:val="0049224D"/>
    <w:rsid w:val="00492482"/>
    <w:rsid w:val="00492670"/>
    <w:rsid w:val="00492806"/>
    <w:rsid w:val="00492892"/>
    <w:rsid w:val="004928EE"/>
    <w:rsid w:val="00492AF5"/>
    <w:rsid w:val="00492BC5"/>
    <w:rsid w:val="00492CC6"/>
    <w:rsid w:val="00493961"/>
    <w:rsid w:val="00493BC1"/>
    <w:rsid w:val="00493E25"/>
    <w:rsid w:val="00493E58"/>
    <w:rsid w:val="00493EEE"/>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1C8"/>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370"/>
    <w:rsid w:val="005465E7"/>
    <w:rsid w:val="00546970"/>
    <w:rsid w:val="00546BA8"/>
    <w:rsid w:val="00546C3C"/>
    <w:rsid w:val="00546D5E"/>
    <w:rsid w:val="00546E08"/>
    <w:rsid w:val="00546E8B"/>
    <w:rsid w:val="005472EA"/>
    <w:rsid w:val="0054785C"/>
    <w:rsid w:val="005478DD"/>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C7"/>
    <w:rsid w:val="005629D4"/>
    <w:rsid w:val="00562EA2"/>
    <w:rsid w:val="005634BF"/>
    <w:rsid w:val="00563658"/>
    <w:rsid w:val="005636DC"/>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E24"/>
    <w:rsid w:val="005730E9"/>
    <w:rsid w:val="005732A4"/>
    <w:rsid w:val="005732FD"/>
    <w:rsid w:val="005738AD"/>
    <w:rsid w:val="00573A0D"/>
    <w:rsid w:val="00573A52"/>
    <w:rsid w:val="00573A8D"/>
    <w:rsid w:val="00573E40"/>
    <w:rsid w:val="00573FA2"/>
    <w:rsid w:val="00574094"/>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809"/>
    <w:rsid w:val="00583B0D"/>
    <w:rsid w:val="00583BCC"/>
    <w:rsid w:val="00583E93"/>
    <w:rsid w:val="005843A4"/>
    <w:rsid w:val="00584474"/>
    <w:rsid w:val="005844D6"/>
    <w:rsid w:val="005846FB"/>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715"/>
    <w:rsid w:val="005C2847"/>
    <w:rsid w:val="005C28CE"/>
    <w:rsid w:val="005C2C90"/>
    <w:rsid w:val="005C2D23"/>
    <w:rsid w:val="005C2F2F"/>
    <w:rsid w:val="005C31BA"/>
    <w:rsid w:val="005C3820"/>
    <w:rsid w:val="005C405E"/>
    <w:rsid w:val="005C45F1"/>
    <w:rsid w:val="005C4B3C"/>
    <w:rsid w:val="005C4F06"/>
    <w:rsid w:val="005C564D"/>
    <w:rsid w:val="005C57EB"/>
    <w:rsid w:val="005C5F84"/>
    <w:rsid w:val="005C66B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417"/>
    <w:rsid w:val="00670527"/>
    <w:rsid w:val="0067076F"/>
    <w:rsid w:val="00670922"/>
    <w:rsid w:val="00670A1B"/>
    <w:rsid w:val="00670BE1"/>
    <w:rsid w:val="00670C55"/>
    <w:rsid w:val="00671213"/>
    <w:rsid w:val="006713C1"/>
    <w:rsid w:val="00671593"/>
    <w:rsid w:val="0067181C"/>
    <w:rsid w:val="00671AB5"/>
    <w:rsid w:val="00671B54"/>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34CB"/>
    <w:rsid w:val="006A36C4"/>
    <w:rsid w:val="006A3991"/>
    <w:rsid w:val="006A3A45"/>
    <w:rsid w:val="006A4155"/>
    <w:rsid w:val="006A46FB"/>
    <w:rsid w:val="006A4748"/>
    <w:rsid w:val="006A4E37"/>
    <w:rsid w:val="006A5083"/>
    <w:rsid w:val="006A516C"/>
    <w:rsid w:val="006A544C"/>
    <w:rsid w:val="006A5519"/>
    <w:rsid w:val="006A5E28"/>
    <w:rsid w:val="006A5EDC"/>
    <w:rsid w:val="006A6499"/>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426A"/>
    <w:rsid w:val="006D4A67"/>
    <w:rsid w:val="006D4C02"/>
    <w:rsid w:val="006D50F0"/>
    <w:rsid w:val="006D52E1"/>
    <w:rsid w:val="006D54A0"/>
    <w:rsid w:val="006D5822"/>
    <w:rsid w:val="006D5A39"/>
    <w:rsid w:val="006D5D2A"/>
    <w:rsid w:val="006D5E38"/>
    <w:rsid w:val="006D5FBC"/>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FA6"/>
    <w:rsid w:val="0075561A"/>
    <w:rsid w:val="0075577F"/>
    <w:rsid w:val="007557AA"/>
    <w:rsid w:val="007558C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6FA"/>
    <w:rsid w:val="00790732"/>
    <w:rsid w:val="0079078F"/>
    <w:rsid w:val="00790AE5"/>
    <w:rsid w:val="00790AF6"/>
    <w:rsid w:val="00790CBB"/>
    <w:rsid w:val="00790DCE"/>
    <w:rsid w:val="00790F6D"/>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F88"/>
    <w:rsid w:val="007E505B"/>
    <w:rsid w:val="007E52F9"/>
    <w:rsid w:val="007E55DD"/>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0F9"/>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B9"/>
    <w:rsid w:val="00844765"/>
    <w:rsid w:val="008449E4"/>
    <w:rsid w:val="00844BE4"/>
    <w:rsid w:val="00844E80"/>
    <w:rsid w:val="008457FD"/>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9C3"/>
    <w:rsid w:val="008E79DD"/>
    <w:rsid w:val="008F02FE"/>
    <w:rsid w:val="008F068E"/>
    <w:rsid w:val="008F0A34"/>
    <w:rsid w:val="008F121F"/>
    <w:rsid w:val="008F140B"/>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94E"/>
    <w:rsid w:val="00930AA4"/>
    <w:rsid w:val="00931189"/>
    <w:rsid w:val="009311C4"/>
    <w:rsid w:val="00931275"/>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713"/>
    <w:rsid w:val="00947A8A"/>
    <w:rsid w:val="00947C28"/>
    <w:rsid w:val="00947CA7"/>
    <w:rsid w:val="00947DC6"/>
    <w:rsid w:val="00950006"/>
    <w:rsid w:val="00950135"/>
    <w:rsid w:val="0095037B"/>
    <w:rsid w:val="009504D6"/>
    <w:rsid w:val="00950573"/>
    <w:rsid w:val="0095070C"/>
    <w:rsid w:val="009507E4"/>
    <w:rsid w:val="00950910"/>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1CA"/>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4F8"/>
    <w:rsid w:val="00A95A23"/>
    <w:rsid w:val="00A95A5F"/>
    <w:rsid w:val="00A96040"/>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A3F"/>
    <w:rsid w:val="00AA6BA1"/>
    <w:rsid w:val="00AA6D0B"/>
    <w:rsid w:val="00AA6E3A"/>
    <w:rsid w:val="00AA6FB3"/>
    <w:rsid w:val="00AA7276"/>
    <w:rsid w:val="00AA7630"/>
    <w:rsid w:val="00AA7934"/>
    <w:rsid w:val="00AA79E9"/>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315"/>
    <w:rsid w:val="00B25336"/>
    <w:rsid w:val="00B254AA"/>
    <w:rsid w:val="00B257FB"/>
    <w:rsid w:val="00B25854"/>
    <w:rsid w:val="00B2679C"/>
    <w:rsid w:val="00B26C68"/>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8FD"/>
    <w:rsid w:val="00B50C23"/>
    <w:rsid w:val="00B515DC"/>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82B"/>
    <w:rsid w:val="00B939DB"/>
    <w:rsid w:val="00B93B59"/>
    <w:rsid w:val="00B9403D"/>
    <w:rsid w:val="00B9406A"/>
    <w:rsid w:val="00B94126"/>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BC"/>
    <w:rsid w:val="00CE0201"/>
    <w:rsid w:val="00CE0263"/>
    <w:rsid w:val="00CE0424"/>
    <w:rsid w:val="00CE0B4B"/>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3F1"/>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A1A"/>
    <w:rsid w:val="00DA4C01"/>
    <w:rsid w:val="00DA4D36"/>
    <w:rsid w:val="00DA51EC"/>
    <w:rsid w:val="00DA53F7"/>
    <w:rsid w:val="00DA5417"/>
    <w:rsid w:val="00DA549A"/>
    <w:rsid w:val="00DA562F"/>
    <w:rsid w:val="00DA5655"/>
    <w:rsid w:val="00DA56E8"/>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4016F"/>
    <w:rsid w:val="00E407F4"/>
    <w:rsid w:val="00E40D3D"/>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751A"/>
    <w:rsid w:val="00E47AEF"/>
    <w:rsid w:val="00E47CDA"/>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A28"/>
    <w:rsid w:val="00E57AB9"/>
    <w:rsid w:val="00E57D60"/>
    <w:rsid w:val="00E57DC7"/>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4003"/>
    <w:rsid w:val="00E7416D"/>
    <w:rsid w:val="00E74180"/>
    <w:rsid w:val="00E74555"/>
    <w:rsid w:val="00E74631"/>
    <w:rsid w:val="00E74676"/>
    <w:rsid w:val="00E746EF"/>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C9"/>
    <w:rsid w:val="00ED79BD"/>
    <w:rsid w:val="00ED7AFB"/>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68"/>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7C5"/>
    <w:rsid w:val="00FC283E"/>
    <w:rsid w:val="00FC2DA3"/>
    <w:rsid w:val="00FC2FC0"/>
    <w:rsid w:val="00FC3057"/>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7FD22D5-8627-4844-BB90-6BC09F5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d8762117-8292-4133-b1c7-eab5c6487cfd"/>
    <ds:schemaRef ds:uri="http://schemas.microsoft.com/sharepoint/v3"/>
    <ds:schemaRef ds:uri="2f282d3b-eb4a-4b09-b61f-b9593442e286"/>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9b239327-9e80-40e4-b1b7-4394fed77a3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1182</TotalTime>
  <Pages>2</Pages>
  <Words>636</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4310</CharactersWithSpaces>
  <SharedDoc>false</SharedDoc>
  <HLinks>
    <vt:vector size="12" baseType="variant">
      <vt:variant>
        <vt:i4>1114161</vt:i4>
      </vt:variant>
      <vt:variant>
        <vt:i4>11</vt:i4>
      </vt:variant>
      <vt:variant>
        <vt:i4>0</vt:i4>
      </vt:variant>
      <vt:variant>
        <vt:i4>5</vt:i4>
      </vt:variant>
      <vt:variant>
        <vt:lpwstr/>
      </vt:variant>
      <vt:variant>
        <vt:lpwstr>_Toc193209344</vt:lpwstr>
      </vt:variant>
      <vt:variant>
        <vt:i4>1114161</vt:i4>
      </vt:variant>
      <vt:variant>
        <vt:i4>8</vt:i4>
      </vt:variant>
      <vt:variant>
        <vt:i4>0</vt:i4>
      </vt:variant>
      <vt:variant>
        <vt:i4>5</vt:i4>
      </vt:variant>
      <vt:variant>
        <vt:lpwstr/>
      </vt:variant>
      <vt:variant>
        <vt:lpwstr>_Toc193209343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413</cp:revision>
  <cp:lastPrinted>2008-02-04T11:09:00Z</cp:lastPrinted>
  <dcterms:created xsi:type="dcterms:W3CDTF">2025-03-18T13:00:00Z</dcterms:created>
  <dcterms:modified xsi:type="dcterms:W3CDTF">2025-05-08T22:02:00Z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